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2"/>
      </w:tblGrid>
      <w:tr w:rsidR="00C34003" w:rsidRPr="001001A4" w:rsidTr="005C715C">
        <w:trPr>
          <w:trHeight w:val="310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3" w:rsidRPr="001001A4" w:rsidRDefault="00825C5B" w:rsidP="00C340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5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45.75pt;height:123.9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информационный вестник&#10;Владимировского сельсовета&#10;"/>
                </v:shape>
              </w:pict>
            </w:r>
          </w:p>
          <w:p w:rsidR="005C715C" w:rsidRPr="001001A4" w:rsidRDefault="005C715C" w:rsidP="00C33DC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34003" w:rsidRPr="001001A4" w:rsidRDefault="00C34003" w:rsidP="000A082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="000A08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r w:rsidR="000A08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0A08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.201</w:t>
            </w:r>
            <w:r w:rsidR="00FC43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</w:tbl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Совместный печатный орган администрации и Совета депутатов Владимировского сельсовета</w:t>
      </w:r>
    </w:p>
    <w:p w:rsidR="00C33DCF" w:rsidRPr="001001A4" w:rsidRDefault="00C34003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(выходит бесплатно)</w:t>
      </w:r>
    </w:p>
    <w:p w:rsidR="00640FF1" w:rsidRDefault="00640FF1" w:rsidP="00640FF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0FF1">
        <w:rPr>
          <w:rFonts w:ascii="Times New Roman" w:hAnsi="Times New Roman" w:cs="Times New Roman"/>
          <w:b/>
          <w:sz w:val="24"/>
          <w:szCs w:val="24"/>
        </w:rPr>
        <w:t xml:space="preserve">Работники </w:t>
      </w:r>
      <w:proofErr w:type="spellStart"/>
      <w:r w:rsidRPr="00640FF1">
        <w:rPr>
          <w:rFonts w:ascii="Times New Roman" w:hAnsi="Times New Roman" w:cs="Times New Roman"/>
          <w:b/>
          <w:sz w:val="24"/>
          <w:szCs w:val="24"/>
        </w:rPr>
        <w:t>предпенсионного</w:t>
      </w:r>
      <w:proofErr w:type="spellEnd"/>
      <w:r w:rsidRPr="00640FF1">
        <w:rPr>
          <w:rFonts w:ascii="Times New Roman" w:hAnsi="Times New Roman" w:cs="Times New Roman"/>
          <w:b/>
          <w:sz w:val="24"/>
          <w:szCs w:val="24"/>
        </w:rPr>
        <w:t xml:space="preserve"> возраста.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С 2019 года под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предпенсионным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возрастом понимается период в течение пяти лет до наступления возраста, дающего право на страховую пенсию по старости, в том числе назначенную досрочно.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С указанного года женщины выходят на пенсию с 60 лет, а мужчины с 65 лет. При этом установлен так называемый переходный период - 2019 - 2027 гг. В течение первых двух лет этого периода можно выйти на пенсию по старости на полгода раньше. Такое право есть у работников, которые достигнут пенсионного возраста по новому законодательству либо приобретут стаж для досрочного назначения пенсии (п. 3 ст. 10 Федерального закона от 03.10.2018 № 350-ФЗ «О внесении изменений в отдельные законодательные акты Российской Федерации по вопросам назначения и выплаты пенсий»).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Появились у данной категории работников и льготы, так, по заявлению работников их необходимо освобождать от работы на два рабочих дня раз в год для прохождения диспансеризации. За эти дни им необходимо выплатить средний заработок, а также сохранить место работы.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Конкретные дни освобождения от работы согласовываются с работодателем (гарантии установлены ч. 2 ст. 185.1 ТК РФ).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Ответственность за нарушение трудовых прав работников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возраста.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При нарушении общего порядка увольнения, например при невыплате или нарушении срока выплат</w:t>
      </w:r>
      <w:bookmarkStart w:id="0" w:name="_GoBack"/>
      <w:bookmarkEnd w:id="0"/>
      <w:r w:rsidRPr="00640FF1">
        <w:rPr>
          <w:rFonts w:ascii="Times New Roman" w:hAnsi="Times New Roman" w:cs="Times New Roman"/>
          <w:sz w:val="24"/>
          <w:szCs w:val="24"/>
        </w:rPr>
        <w:t xml:space="preserve">ы работнику сумм, положенных при увольнении, работодатель может быть привлечен к административной ответственности по ст. 5.27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РФ (если эти действия не содержат уголовно наказуемого деяния в соответствии со ст. 145.1 УК РФ).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lastRenderedPageBreak/>
        <w:t xml:space="preserve">За необоснованное увольнение работников в связи с достижением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возраста предусмотрена уголовная ответственность по ст. 144.1 УК РФ. Данная ответственность также наступает, если работодатель вынудил работника подать заявление об увольнении по собственному желанию в связи с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предпенсионным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возрастом и уволил его по п. 3 ч. 1 ст. 77 ТК РФ (п. 16 Постановления Пленума Верховного Суда РФ от 25.12.2018 № 46). Кроме того, аналогичная ответственность предусмотрена за необоснованный отказ в приеме на работу такой категории граждан.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В случае наступления уголовной ответственности по ст. 144.1 УК РФ руководителю организации или работнику, уполномоченному принимать и увольнять сотрудников, могут назначить штраф в размере до 200 тыс. руб. или в размере заработной платы (иного дохода) осужденного за период до 18 месяцев; обязательные работы на срок до 360 ч.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Запрет на необоснованный отказ в приеме на работу, в том числе из-за возраста соискателя, установлен ст. 64 ТК РФ. Работодатель обязан сообщить причину отказа в письменной форме, если соискатель этого потребует. Ответ необходимо дать в течение 7 рабочих дней (ч. 5 ст. 64 ТК РФ).</w:t>
      </w:r>
    </w:p>
    <w:p w:rsidR="00640FF1" w:rsidRPr="00640FF1" w:rsidRDefault="00640FF1" w:rsidP="00640FF1">
      <w:pPr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Помощник прокурора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Мельцас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C11DC0" w:rsidRPr="00640FF1" w:rsidRDefault="00C11DC0" w:rsidP="00640FF1">
      <w:pPr>
        <w:ind w:left="-567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211F" w:rsidRPr="00640FF1" w:rsidRDefault="00F1211F" w:rsidP="00640FF1">
      <w:pPr>
        <w:pStyle w:val="a5"/>
        <w:spacing w:before="0" w:beforeAutospacing="0" w:after="0" w:afterAutospacing="0"/>
        <w:ind w:firstLine="567"/>
        <w:jc w:val="center"/>
        <w:rPr>
          <w:color w:val="000000"/>
        </w:rPr>
      </w:pPr>
    </w:p>
    <w:p w:rsidR="00F1211F" w:rsidRPr="00640FF1" w:rsidRDefault="00F1211F" w:rsidP="00640FF1">
      <w:pPr>
        <w:pStyle w:val="a5"/>
        <w:spacing w:before="0" w:beforeAutospacing="0" w:after="0" w:afterAutospacing="0"/>
        <w:ind w:firstLine="567"/>
        <w:jc w:val="center"/>
        <w:rPr>
          <w:color w:val="000000"/>
        </w:rPr>
      </w:pPr>
    </w:p>
    <w:p w:rsidR="00640FF1" w:rsidRPr="00640FF1" w:rsidRDefault="00640FF1" w:rsidP="00640FF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FF1">
        <w:rPr>
          <w:rFonts w:ascii="Times New Roman" w:hAnsi="Times New Roman" w:cs="Times New Roman"/>
          <w:b/>
          <w:sz w:val="24"/>
          <w:szCs w:val="24"/>
        </w:rPr>
        <w:t>Организации независимо от форм собственности обязаны разрабатывать и принимать меры по предупреждению коррупции.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В соответствии со статьей 13.3 Федерального закона от 25.12.2008 № 273-ФЗ «О противодействии коррупции» (далее – Закон о противодействии коррупции) организации обязаны разрабатывать и принимать меры по предупреждению коррупции.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Меры по предупреждению коррупции, принимаемые в организации, могут включать: определение подразделений или должностных лиц, ответственных за профилактику коррупционных и иных правонарушений; сотрудничество организации с правоохранительными органами; разработку и внедрение в практику стандартов и процедур, направленных на обеспечение добросовестной работы организации; принятие кодекса этики и служебного поведения работников организации; предотвращение и урегулирование конфликта интересов; недопущение составления неофициальной отчетности и использования поддельных документов.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29.06.2018 № 378 утвержден Национальный план противодействия коррупции на 2018-2020 годы, поставлены задачи на ближайшие годы, которые необходимо решить в целях противодействия коррупции, и определены основные мероприятия, направленные на решение указанных задач в организациях.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Национальный план противодействия коррупции определяет основной задачей реализацию требований статьи 13.3 Закона о противодействии коррупции, касающейся обязанности организаций принимать меры по предупреждению и противодействию коррупции, предусматривает формирование системы государственного контроля за реализацией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политики в негосударственном секторе.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С целью формирования единого подхода к обеспечению работы по предупреждению и противодействию коррупции в организациях Министерством труда и социальной защиты Российской Федерации разработаны Методические рекомендации по разработке и принятию организациями мер по предупреждению и противодействию коррупции, утвержденные 08.11.2013 года (далее – Методические рекомендации).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Методические рекомендации предусматривают проведение работы по профилактике коррупционных и иных правонарушений для любых организаций, независимо от форм собственности, организационно-правовых форм, отраслевой принадлежности и других обстоятельств, а также предусматривают обязательное требование по разработке и принятию документа, который включает в себя комплекс взаимосвязанных принципов, процедур и конкретных мероприятий, а также иных локальных нормативных актов и методических материалов, направленных на профилактику и противодействие коррупционным правонарушениям в деятельности организации.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Прокуратурой Убинского района на постоянной основе проводятся проверки полноты и эффективности принимаемых организациями мер по предупреждению коррупции, в результате которых установлено, что организациями  в большинстве случаев предусмотренная ст. 13.3 Закона о противодействии коррупции обязанность исполняется ненадлежащим образом, меры по предупреждению коррупции не принимаются либо принимаются не в полном объеме, мероприятия, предусмотренные Методическими рекомендациями, реализуются в недостаточной мере и не на системной основе.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К числу типичных нарушений можно отнести следующие.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Большинство мероприятий, предусмотренных локальными актами, носят декларативный характер, предусмотренные такими актами обязанности не могут быть исполнены ввиду отсутствия механизма их реализации.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Например, положением об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политике одного из учреждений в перечень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мероприятий включены разработка и принятие Положения о конфликте интересов, которое в течение длительного времени не разрабатывалось и не принято, а нормы иных локальных актов учреждения не регламентируют в достаточной степени механизм информирования работниками работодателя о наличии личной заинтересованности при исполнении должностных обязанностей, о возникновении (возможности возникновения) конфликта интересов, порядок урегулирования возникшего у работника учреждения конфликта интересов.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Такая регламентация должна предусматривать сроки, способы направления уведомления в соответствующую комиссию, порядок учета таких уведомлений, должностных лиц, ответственных за прием уведомлений.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lastRenderedPageBreak/>
        <w:t>При создании комиссий по соблюдению требований к служебному поведению сотрудников и противодействию коррупции зачастую не определен порядок рассмотрения такой комиссией сообщений работников о наличии личной заинтересованности, о возможности возникновения конфликта интересов при исполнении должностных обязанностей.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Имеет место толкование понятия «коррупция», которое не соответствует понятию, закрепленному в ст. 10 Закона о противодействии коррупции.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Встречаются случаи, когда нельзя признать достаточным объем предусмотренных в трудовых договорах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обязанностей, поскольку ими не установлена обязанность работников учреждения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и принимать меры по недопущению любой возможности возникновения конфликта интересов, а также уведомлять работодателя обо всех случаях обращения к ним в целях склонения к совершению коррупционных правонарушений.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Планы мероприятий по противодействию коррупции не содержат сроков исполнения, кроме этого, большинство мероприятий относятся к текущей деятельности учреждения, что позволяет сделать вывод о том, что конкретные мероприятия по противодействию коррупции не запланированы и не проводятся.</w:t>
      </w:r>
    </w:p>
    <w:p w:rsidR="00640FF1" w:rsidRPr="00640FF1" w:rsidRDefault="00640FF1" w:rsidP="00640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Выявленные нарушения законодательства о противодействии коррупции создают препятствия в обеспечении достижения поставленных государством задач по предотвращению коррупционных правонарушений, а причинами и условиями, которые способствовали нарушению законодательства, являются ненадлежащее исполнение своих обязанностей работниками организаций, в связи с чем по требованию прокурора они могут быть привлечены к дисциплинарной ответственности.</w:t>
      </w:r>
    </w:p>
    <w:p w:rsidR="00640FF1" w:rsidRPr="00640FF1" w:rsidRDefault="00640FF1" w:rsidP="00640FF1">
      <w:pPr>
        <w:rPr>
          <w:rFonts w:ascii="Times New Roman" w:hAnsi="Times New Roman" w:cs="Times New Roman"/>
          <w:sz w:val="24"/>
          <w:szCs w:val="24"/>
        </w:rPr>
      </w:pPr>
    </w:p>
    <w:p w:rsidR="00640FF1" w:rsidRPr="00640FF1" w:rsidRDefault="00640FF1" w:rsidP="00640FF1">
      <w:pPr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Помощник прокурора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Мельцас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640FF1" w:rsidRPr="00640FF1" w:rsidRDefault="00640FF1" w:rsidP="00640FF1">
      <w:pPr>
        <w:rPr>
          <w:rFonts w:ascii="Times New Roman" w:hAnsi="Times New Roman" w:cs="Times New Roman"/>
          <w:sz w:val="24"/>
          <w:szCs w:val="24"/>
        </w:rPr>
      </w:pP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FF1">
        <w:rPr>
          <w:rFonts w:ascii="Times New Roman" w:hAnsi="Times New Roman" w:cs="Times New Roman"/>
          <w:b/>
          <w:sz w:val="24"/>
          <w:szCs w:val="24"/>
        </w:rPr>
        <w:t>О возмещении причиненного вреда при оказании коммунальных услуг ненадлежащего качества.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регулирует отношения по предоставлению коммунальных услуг собственникам и пользователям помещений в многоквартирных домах, собственникам и пользователям жилых домов, в том числе порядок контроля качества предоставления коммунальных услуг, порядок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определяют основания и порядок </w:t>
      </w:r>
      <w:r w:rsidRPr="00640FF1">
        <w:rPr>
          <w:rFonts w:ascii="Times New Roman" w:hAnsi="Times New Roman" w:cs="Times New Roman"/>
          <w:sz w:val="24"/>
          <w:szCs w:val="24"/>
        </w:rPr>
        <w:lastRenderedPageBreak/>
        <w:t>приостановления или ограничения предоставления коммунальных услуг, а также регламентируют вопросы, связанные с наступлением ответственности исполнителей и потребителей коммунальных услуг.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Нередко в следствии аварий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ресурсоснабжающие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и сетевые компании производят приостановку оказания коммунальных услуг, что может привести к причинению вреда абонентам.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В таких случаях законодательством предусмотрено, что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ресурсоснабжающие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и сетевые компании несут установленную законодательством Российской Федерации административную, уголовную или гражданско-правовую ответственность за нарушение качества предоставления потребителю коммунальных услуг; возмещают вред, причиненный жизни, здоровью и имуществу потребителя вследствие нарушения качества предоставления коммунальных услуг, вследствие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потребителю полной и достоверной информации о предоставляемых коммунальных услугах; возмещают убытки, причиненные потребителю в результате нарушения исполнителем прав потребителей, в том числе в результате договора, содержащего условия, ущемляющие права потребителя; а также компенсируют моральный вред, причиненный потребителю вследствие нарушения исполнителем прав потребителей.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В случае причинения исполнителем ущерба жизни, здоровью и (или) имуществу потребителя, общему имуществу собственников помещений в многоквартирном доме исполнитель и потребитель (или его представитель) составляют и подписывают акт о причинении ущерба жизни, здоровью и имуществу потребителя, общему имуществу собственников помещений в многоквартирном доме, содержащий описание причиненного ущерба и обстоятельств, при которых такой ущерб был причинен.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Указанный акт должен быть составлен исполнителем и подписан им не позднее 12 часов с момента обращения потребителя в аварийно-диспетчерскую службу. При невозможности подписания акта потребителем (или его представителем), в том числе по причине его отсутствия в занимаемом помещении, акт должен быть подписан помимо исполнителя 2 незаинтересованными лицами. Акт составляется в 2 экземплярах, один из которых передается потребителю (или его представителю), второй - остается у исполнителя.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Кроме того,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ресурсоснабжающие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и сетевые компании,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(или) с перерывами, превышающими установленную продолжительность, обязаны произвести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При этом потребитель вправе требовать с исполнителя уплаты неустоек (штрафов, пеней) в размере, указанном в Законе Российской Федерации «О защите прав потребителей».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lastRenderedPageBreak/>
        <w:t>Право требовать возмещения вреда, причиненного вследствие нарушения качества предоставления коммунальных услуг, признается за любым потерпевшим независимо от того, состоял он в договорных отношениях с исполнителем или нет.</w:t>
      </w:r>
    </w:p>
    <w:p w:rsidR="00640FF1" w:rsidRPr="00640FF1" w:rsidRDefault="00640FF1" w:rsidP="00640F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>Вред, причиненный жизни, здоровью или имуществу потребителя вследствие нарушения качества предоставления коммунальных услуг, подлежит возмещению в течение 10 лет со дня предоставления такой услуги. При этом требования, предъявленные по истечении 3 лет со дня возникновения права на возмещение такого вреда, удовлетворяются за прошлое время не более чем за 3 года, предшествовавшие предъявлению иска.</w:t>
      </w:r>
    </w:p>
    <w:p w:rsidR="00640FF1" w:rsidRPr="00640FF1" w:rsidRDefault="00640FF1" w:rsidP="00640FF1">
      <w:pPr>
        <w:rPr>
          <w:rFonts w:ascii="Times New Roman" w:hAnsi="Times New Roman" w:cs="Times New Roman"/>
          <w:sz w:val="24"/>
          <w:szCs w:val="24"/>
        </w:rPr>
      </w:pPr>
    </w:p>
    <w:p w:rsidR="00A70254" w:rsidRPr="00640FF1" w:rsidRDefault="00640FF1" w:rsidP="00640FF1">
      <w:pPr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4"/>
          <w:szCs w:val="24"/>
        </w:rPr>
        <w:t xml:space="preserve">Помощник прокурора </w:t>
      </w:r>
      <w:proofErr w:type="spellStart"/>
      <w:r w:rsidRPr="00640FF1">
        <w:rPr>
          <w:rFonts w:ascii="Times New Roman" w:hAnsi="Times New Roman" w:cs="Times New Roman"/>
          <w:sz w:val="24"/>
          <w:szCs w:val="24"/>
        </w:rPr>
        <w:t>Мельцас</w:t>
      </w:r>
      <w:proofErr w:type="spellEnd"/>
      <w:r w:rsidRPr="00640FF1">
        <w:rPr>
          <w:rFonts w:ascii="Times New Roman" w:hAnsi="Times New Roman" w:cs="Times New Roman"/>
          <w:sz w:val="24"/>
          <w:szCs w:val="24"/>
        </w:rPr>
        <w:t xml:space="preserve"> Е.В.</w:t>
      </w:r>
    </w:p>
    <w:tbl>
      <w:tblPr>
        <w:tblpPr w:leftFromText="180" w:rightFromText="180" w:bottomFromText="200" w:vertAnchor="text" w:horzAnchor="margin" w:tblpXSpec="center" w:tblpY="12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3"/>
        <w:gridCol w:w="2288"/>
        <w:gridCol w:w="3793"/>
      </w:tblGrid>
      <w:tr w:rsidR="008C3EB2" w:rsidRPr="001001A4" w:rsidTr="008C3EB2">
        <w:trPr>
          <w:trHeight w:val="98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ИНФОРМАЦИОННЫЙ   ВЕСТНИК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Адрес:632540, с.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Владимировское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ул. Рабочая, 17. Тел. 24-122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Председатель редакционного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совета-Молько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Н.А.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Учредитель-  администрация                    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Владимировского сельсовета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Тираж  - 25 экз.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Default="008C3EB2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C3EB2" w:rsidRPr="001001A4" w:rsidRDefault="008C3EB2" w:rsidP="008C3EB2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sectPr w:rsidR="008C3EB2" w:rsidRPr="001001A4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4E7" w:rsidRDefault="00E864E7" w:rsidP="007323A1">
      <w:pPr>
        <w:spacing w:after="0" w:line="240" w:lineRule="auto"/>
      </w:pPr>
      <w:r>
        <w:separator/>
      </w:r>
    </w:p>
  </w:endnote>
  <w:endnote w:type="continuationSeparator" w:id="0">
    <w:p w:rsidR="00E864E7" w:rsidRDefault="00E864E7" w:rsidP="0073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4E7" w:rsidRDefault="00E864E7" w:rsidP="007323A1">
      <w:pPr>
        <w:spacing w:after="0" w:line="240" w:lineRule="auto"/>
      </w:pPr>
      <w:r>
        <w:separator/>
      </w:r>
    </w:p>
  </w:footnote>
  <w:footnote w:type="continuationSeparator" w:id="0">
    <w:p w:rsidR="00E864E7" w:rsidRDefault="00E864E7" w:rsidP="00732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BE6890"/>
    <w:multiLevelType w:val="hybridMultilevel"/>
    <w:tmpl w:val="27B801C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3">
    <w:nsid w:val="11157FC4"/>
    <w:multiLevelType w:val="hybridMultilevel"/>
    <w:tmpl w:val="8ECEF65C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C6ABA"/>
    <w:multiLevelType w:val="hybridMultilevel"/>
    <w:tmpl w:val="8B76BED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B17D6"/>
    <w:multiLevelType w:val="hybridMultilevel"/>
    <w:tmpl w:val="3146B7C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28993922"/>
    <w:multiLevelType w:val="hybridMultilevel"/>
    <w:tmpl w:val="A086BEEE"/>
    <w:lvl w:ilvl="0" w:tplc="8E9218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E059B"/>
    <w:multiLevelType w:val="hybridMultilevel"/>
    <w:tmpl w:val="9F6EB1D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7749F"/>
    <w:multiLevelType w:val="hybridMultilevel"/>
    <w:tmpl w:val="0F0A5F8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327AEB"/>
    <w:multiLevelType w:val="hybridMultilevel"/>
    <w:tmpl w:val="74BAA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4C2AC0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003"/>
    <w:rsid w:val="00002B87"/>
    <w:rsid w:val="00040C2E"/>
    <w:rsid w:val="00041971"/>
    <w:rsid w:val="00046431"/>
    <w:rsid w:val="00046F0B"/>
    <w:rsid w:val="0005079A"/>
    <w:rsid w:val="000569C9"/>
    <w:rsid w:val="00056C5E"/>
    <w:rsid w:val="00062A8C"/>
    <w:rsid w:val="000959E4"/>
    <w:rsid w:val="000A0820"/>
    <w:rsid w:val="000C3B8A"/>
    <w:rsid w:val="000F0C1E"/>
    <w:rsid w:val="001001A4"/>
    <w:rsid w:val="0012311C"/>
    <w:rsid w:val="00133F56"/>
    <w:rsid w:val="00170071"/>
    <w:rsid w:val="001A27AC"/>
    <w:rsid w:val="001B760A"/>
    <w:rsid w:val="001C4B89"/>
    <w:rsid w:val="001E28F8"/>
    <w:rsid w:val="001E6D28"/>
    <w:rsid w:val="001E757F"/>
    <w:rsid w:val="00210034"/>
    <w:rsid w:val="00210D87"/>
    <w:rsid w:val="0022224E"/>
    <w:rsid w:val="00224326"/>
    <w:rsid w:val="00227985"/>
    <w:rsid w:val="00256FA2"/>
    <w:rsid w:val="002727BD"/>
    <w:rsid w:val="0029400F"/>
    <w:rsid w:val="002B3FF7"/>
    <w:rsid w:val="002C2AD4"/>
    <w:rsid w:val="002F3A06"/>
    <w:rsid w:val="003141EA"/>
    <w:rsid w:val="00330D96"/>
    <w:rsid w:val="00350F18"/>
    <w:rsid w:val="003744F2"/>
    <w:rsid w:val="00381061"/>
    <w:rsid w:val="00390551"/>
    <w:rsid w:val="003B09D0"/>
    <w:rsid w:val="003B4220"/>
    <w:rsid w:val="004006E3"/>
    <w:rsid w:val="00400CA7"/>
    <w:rsid w:val="00411443"/>
    <w:rsid w:val="00443D34"/>
    <w:rsid w:val="004513EB"/>
    <w:rsid w:val="00463BDC"/>
    <w:rsid w:val="00470FDE"/>
    <w:rsid w:val="004D6C33"/>
    <w:rsid w:val="004E2126"/>
    <w:rsid w:val="00521F07"/>
    <w:rsid w:val="00545023"/>
    <w:rsid w:val="0057236C"/>
    <w:rsid w:val="00594FA8"/>
    <w:rsid w:val="005C715C"/>
    <w:rsid w:val="005D4402"/>
    <w:rsid w:val="005D507A"/>
    <w:rsid w:val="005D54D4"/>
    <w:rsid w:val="00615C30"/>
    <w:rsid w:val="00640FF1"/>
    <w:rsid w:val="0065263E"/>
    <w:rsid w:val="00683B9D"/>
    <w:rsid w:val="00684517"/>
    <w:rsid w:val="006A1B96"/>
    <w:rsid w:val="006A5088"/>
    <w:rsid w:val="006B17BC"/>
    <w:rsid w:val="006C01EE"/>
    <w:rsid w:val="006C7332"/>
    <w:rsid w:val="006D1877"/>
    <w:rsid w:val="006D3EE6"/>
    <w:rsid w:val="00700692"/>
    <w:rsid w:val="00702655"/>
    <w:rsid w:val="007240ED"/>
    <w:rsid w:val="007323A1"/>
    <w:rsid w:val="007554E6"/>
    <w:rsid w:val="00763F2D"/>
    <w:rsid w:val="0077009E"/>
    <w:rsid w:val="00783B28"/>
    <w:rsid w:val="00784C03"/>
    <w:rsid w:val="007B3C78"/>
    <w:rsid w:val="007C3F88"/>
    <w:rsid w:val="007E34F1"/>
    <w:rsid w:val="007E4F1A"/>
    <w:rsid w:val="007F48B7"/>
    <w:rsid w:val="00825C5B"/>
    <w:rsid w:val="0083074F"/>
    <w:rsid w:val="00895F1D"/>
    <w:rsid w:val="008C3EB2"/>
    <w:rsid w:val="008C5DBC"/>
    <w:rsid w:val="008D0781"/>
    <w:rsid w:val="008D5110"/>
    <w:rsid w:val="008E309A"/>
    <w:rsid w:val="008F3F2E"/>
    <w:rsid w:val="008F41BF"/>
    <w:rsid w:val="00907DBB"/>
    <w:rsid w:val="00921A6E"/>
    <w:rsid w:val="009234D7"/>
    <w:rsid w:val="00964159"/>
    <w:rsid w:val="00971E5C"/>
    <w:rsid w:val="009A1C31"/>
    <w:rsid w:val="009C6FA7"/>
    <w:rsid w:val="009D4DD9"/>
    <w:rsid w:val="009F0E32"/>
    <w:rsid w:val="00A1158B"/>
    <w:rsid w:val="00A351CF"/>
    <w:rsid w:val="00A40A3E"/>
    <w:rsid w:val="00A508E2"/>
    <w:rsid w:val="00A50B12"/>
    <w:rsid w:val="00A61166"/>
    <w:rsid w:val="00A70254"/>
    <w:rsid w:val="00A7058C"/>
    <w:rsid w:val="00A7427F"/>
    <w:rsid w:val="00A96731"/>
    <w:rsid w:val="00AD153B"/>
    <w:rsid w:val="00AE4CF6"/>
    <w:rsid w:val="00AF44A1"/>
    <w:rsid w:val="00B266C6"/>
    <w:rsid w:val="00B37E79"/>
    <w:rsid w:val="00B446CA"/>
    <w:rsid w:val="00B55C0F"/>
    <w:rsid w:val="00B60634"/>
    <w:rsid w:val="00B82FF5"/>
    <w:rsid w:val="00B939C9"/>
    <w:rsid w:val="00BA5F1B"/>
    <w:rsid w:val="00BB5CE8"/>
    <w:rsid w:val="00BD5762"/>
    <w:rsid w:val="00BE69FD"/>
    <w:rsid w:val="00C0504C"/>
    <w:rsid w:val="00C11DC0"/>
    <w:rsid w:val="00C33DCF"/>
    <w:rsid w:val="00C34003"/>
    <w:rsid w:val="00C56B1C"/>
    <w:rsid w:val="00C61A6D"/>
    <w:rsid w:val="00C662F9"/>
    <w:rsid w:val="00C67CEC"/>
    <w:rsid w:val="00C94141"/>
    <w:rsid w:val="00CA4F6D"/>
    <w:rsid w:val="00CB2B1B"/>
    <w:rsid w:val="00CD36BC"/>
    <w:rsid w:val="00D00076"/>
    <w:rsid w:val="00D04389"/>
    <w:rsid w:val="00D33DE8"/>
    <w:rsid w:val="00D57313"/>
    <w:rsid w:val="00D73293"/>
    <w:rsid w:val="00D74ACA"/>
    <w:rsid w:val="00D96E7D"/>
    <w:rsid w:val="00DC0601"/>
    <w:rsid w:val="00DC6699"/>
    <w:rsid w:val="00DD4173"/>
    <w:rsid w:val="00E01779"/>
    <w:rsid w:val="00E2088D"/>
    <w:rsid w:val="00E348AC"/>
    <w:rsid w:val="00E61AD6"/>
    <w:rsid w:val="00E67D95"/>
    <w:rsid w:val="00E864E7"/>
    <w:rsid w:val="00E86567"/>
    <w:rsid w:val="00E902AC"/>
    <w:rsid w:val="00EC0EDC"/>
    <w:rsid w:val="00ED05F1"/>
    <w:rsid w:val="00ED706B"/>
    <w:rsid w:val="00F1211F"/>
    <w:rsid w:val="00F21787"/>
    <w:rsid w:val="00F40685"/>
    <w:rsid w:val="00F47BF6"/>
    <w:rsid w:val="00F5087D"/>
    <w:rsid w:val="00F61B86"/>
    <w:rsid w:val="00FA4BA1"/>
    <w:rsid w:val="00FB5518"/>
    <w:rsid w:val="00FC1C74"/>
    <w:rsid w:val="00FC4394"/>
    <w:rsid w:val="00FE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00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37E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34003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A9673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nhideWhenUsed/>
    <w:qFormat/>
    <w:rsid w:val="00A9673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nhideWhenUsed/>
    <w:qFormat/>
    <w:rsid w:val="00A9673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A9673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nhideWhenUsed/>
    <w:qFormat/>
    <w:rsid w:val="00A9673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73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731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E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34003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96731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A96731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A96731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A96731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A9673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A96731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A96731"/>
    <w:rPr>
      <w:rFonts w:ascii="Cambria" w:eastAsia="Times New Roman" w:hAnsi="Cambria" w:cs="Times New Roman"/>
      <w:lang w:val="en-US" w:bidi="en-US"/>
    </w:rPr>
  </w:style>
  <w:style w:type="paragraph" w:styleId="a3">
    <w:name w:val="No Spacing"/>
    <w:link w:val="a4"/>
    <w:uiPriority w:val="1"/>
    <w:qFormat/>
    <w:rsid w:val="00C34003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C34003"/>
    <w:rPr>
      <w:rFonts w:eastAsiaTheme="minorEastAsia"/>
      <w:lang w:val="en-US" w:bidi="en-US"/>
    </w:rPr>
  </w:style>
  <w:style w:type="paragraph" w:styleId="a5">
    <w:name w:val="Normal (Web)"/>
    <w:basedOn w:val="a"/>
    <w:uiPriority w:val="99"/>
    <w:rsid w:val="00C34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34003"/>
  </w:style>
  <w:style w:type="paragraph" w:styleId="a6">
    <w:name w:val="Body Text Indent"/>
    <w:basedOn w:val="a"/>
    <w:link w:val="a7"/>
    <w:rsid w:val="00C3400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34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340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340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34003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34003"/>
    <w:rPr>
      <w:color w:val="0000FF"/>
      <w:u w:val="single"/>
    </w:rPr>
  </w:style>
  <w:style w:type="paragraph" w:styleId="aa">
    <w:name w:val="Body Text"/>
    <w:basedOn w:val="a"/>
    <w:link w:val="ab"/>
    <w:unhideWhenUsed/>
    <w:rsid w:val="00C34003"/>
    <w:pPr>
      <w:spacing w:after="120"/>
    </w:pPr>
  </w:style>
  <w:style w:type="character" w:customStyle="1" w:styleId="ab">
    <w:name w:val="Основной текст Знак"/>
    <w:basedOn w:val="a0"/>
    <w:link w:val="aa"/>
    <w:rsid w:val="00C34003"/>
    <w:rPr>
      <w:rFonts w:eastAsiaTheme="minorEastAsia"/>
      <w:lang w:eastAsia="ru-RU"/>
    </w:rPr>
  </w:style>
  <w:style w:type="paragraph" w:customStyle="1" w:styleId="ConsPlusTitle">
    <w:name w:val="ConsPlusTitle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C3400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2"/>
      <w:sz w:val="24"/>
      <w:szCs w:val="24"/>
      <w:lang w:val="en-US" w:bidi="en-US"/>
    </w:rPr>
  </w:style>
  <w:style w:type="paragraph" w:styleId="ac">
    <w:name w:val="header"/>
    <w:basedOn w:val="a"/>
    <w:link w:val="ad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7323A1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23A1"/>
    <w:rPr>
      <w:rFonts w:eastAsiaTheme="minorEastAsia"/>
      <w:lang w:eastAsia="ru-RU"/>
    </w:rPr>
  </w:style>
  <w:style w:type="paragraph" w:customStyle="1" w:styleId="p5">
    <w:name w:val="p5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133F56"/>
  </w:style>
  <w:style w:type="paragraph" w:customStyle="1" w:styleId="p6">
    <w:name w:val="p6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133F56"/>
  </w:style>
  <w:style w:type="character" w:customStyle="1" w:styleId="s4">
    <w:name w:val="s4"/>
    <w:basedOn w:val="a0"/>
    <w:rsid w:val="00133F56"/>
  </w:style>
  <w:style w:type="character" w:customStyle="1" w:styleId="FontStyle19">
    <w:name w:val="Font Style19"/>
    <w:rsid w:val="00133F56"/>
    <w:rPr>
      <w:rFonts w:ascii="Times New Roman" w:hAnsi="Times New Roman" w:cs="Times New Roman"/>
      <w:sz w:val="26"/>
      <w:szCs w:val="26"/>
    </w:rPr>
  </w:style>
  <w:style w:type="paragraph" w:styleId="af0">
    <w:name w:val="Date"/>
    <w:basedOn w:val="a"/>
    <w:next w:val="a"/>
    <w:link w:val="af1"/>
    <w:semiHidden/>
    <w:unhideWhenUsed/>
    <w:rsid w:val="00133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Дата Знак"/>
    <w:basedOn w:val="a0"/>
    <w:link w:val="af0"/>
    <w:semiHidden/>
    <w:rsid w:val="00133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33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6B17BC"/>
    <w:pPr>
      <w:spacing w:after="0" w:line="240" w:lineRule="auto"/>
    </w:pPr>
    <w:rPr>
      <w:rFonts w:ascii="Calibri" w:eastAsia="Times New Roman" w:hAnsi="Calibri" w:cs="Calibri"/>
    </w:rPr>
  </w:style>
  <w:style w:type="character" w:styleId="af2">
    <w:name w:val="Strong"/>
    <w:basedOn w:val="a0"/>
    <w:uiPriority w:val="22"/>
    <w:qFormat/>
    <w:rsid w:val="006B17BC"/>
    <w:rPr>
      <w:b/>
      <w:bCs/>
    </w:rPr>
  </w:style>
  <w:style w:type="paragraph" w:styleId="21">
    <w:name w:val="Body Text 2"/>
    <w:basedOn w:val="a"/>
    <w:link w:val="22"/>
    <w:unhideWhenUsed/>
    <w:rsid w:val="005D44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D4402"/>
    <w:rPr>
      <w:rFonts w:eastAsiaTheme="minorEastAsia"/>
      <w:lang w:eastAsia="ru-RU"/>
    </w:rPr>
  </w:style>
  <w:style w:type="paragraph" w:styleId="af3">
    <w:name w:val="Title"/>
    <w:basedOn w:val="a"/>
    <w:link w:val="af4"/>
    <w:qFormat/>
    <w:rsid w:val="005D44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Название Знак"/>
    <w:basedOn w:val="a0"/>
    <w:link w:val="af3"/>
    <w:rsid w:val="005D44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(3)_"/>
    <w:basedOn w:val="a0"/>
    <w:rsid w:val="00895F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1"/>
    <w:rsid w:val="00895F1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_"/>
    <w:basedOn w:val="a0"/>
    <w:rsid w:val="00895F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95F1D"/>
    <w:rPr>
      <w:color w:val="000000"/>
      <w:spacing w:val="0"/>
      <w:w w:val="100"/>
      <w:position w:val="0"/>
      <w:lang w:val="ru-RU" w:eastAsia="ru-RU" w:bidi="ru-RU"/>
    </w:rPr>
  </w:style>
  <w:style w:type="paragraph" w:styleId="af5">
    <w:name w:val="Balloon Text"/>
    <w:basedOn w:val="a"/>
    <w:link w:val="af6"/>
    <w:uiPriority w:val="99"/>
    <w:semiHidden/>
    <w:rsid w:val="00A9673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67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сновной текст с отступом1"/>
    <w:basedOn w:val="a"/>
    <w:rsid w:val="00A9673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7">
    <w:name w:val="Table Grid"/>
    <w:basedOn w:val="a1"/>
    <w:uiPriority w:val="59"/>
    <w:rsid w:val="00A96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uiPriority w:val="11"/>
    <w:qFormat/>
    <w:rsid w:val="00A9673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uiPriority w:val="11"/>
    <w:rsid w:val="00A96731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uiPriority w:val="20"/>
    <w:qFormat/>
    <w:rsid w:val="00A96731"/>
    <w:rPr>
      <w:rFonts w:ascii="Calibri" w:hAnsi="Calibri"/>
      <w:b/>
      <w:i/>
      <w:iCs/>
    </w:rPr>
  </w:style>
  <w:style w:type="paragraph" w:styleId="25">
    <w:name w:val="Quote"/>
    <w:basedOn w:val="a"/>
    <w:next w:val="a"/>
    <w:link w:val="26"/>
    <w:uiPriority w:val="29"/>
    <w:qFormat/>
    <w:rsid w:val="00A9673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uiPriority w:val="29"/>
    <w:rsid w:val="00A96731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A9673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A96731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d">
    <w:name w:val="Subtle Emphasis"/>
    <w:uiPriority w:val="19"/>
    <w:qFormat/>
    <w:rsid w:val="00A96731"/>
    <w:rPr>
      <w:i/>
      <w:color w:val="5A5A5A"/>
    </w:rPr>
  </w:style>
  <w:style w:type="character" w:styleId="afe">
    <w:name w:val="Intense Emphasis"/>
    <w:basedOn w:val="a0"/>
    <w:uiPriority w:val="21"/>
    <w:qFormat/>
    <w:rsid w:val="00A96731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A96731"/>
    <w:rPr>
      <w:sz w:val="24"/>
      <w:szCs w:val="24"/>
      <w:u w:val="single"/>
    </w:rPr>
  </w:style>
  <w:style w:type="character" w:styleId="aff0">
    <w:name w:val="Intense Reference"/>
    <w:basedOn w:val="a0"/>
    <w:uiPriority w:val="32"/>
    <w:qFormat/>
    <w:rsid w:val="00A96731"/>
    <w:rPr>
      <w:b/>
      <w:sz w:val="24"/>
      <w:u w:val="single"/>
    </w:rPr>
  </w:style>
  <w:style w:type="character" w:styleId="aff1">
    <w:name w:val="Book Title"/>
    <w:basedOn w:val="a0"/>
    <w:uiPriority w:val="33"/>
    <w:qFormat/>
    <w:rsid w:val="00A96731"/>
    <w:rPr>
      <w:rFonts w:ascii="Cambria" w:eastAsia="Times New Roman" w:hAnsi="Cambria"/>
      <w:b/>
      <w:i/>
      <w:sz w:val="24"/>
      <w:szCs w:val="24"/>
    </w:rPr>
  </w:style>
  <w:style w:type="paragraph" w:customStyle="1" w:styleId="13">
    <w:name w:val="Основной текст1"/>
    <w:basedOn w:val="a"/>
    <w:link w:val="aff2"/>
    <w:rsid w:val="009D4DD9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color w:val="000000"/>
    </w:rPr>
  </w:style>
  <w:style w:type="character" w:customStyle="1" w:styleId="aff2">
    <w:name w:val="Основной текст_"/>
    <w:link w:val="13"/>
    <w:locked/>
    <w:rsid w:val="001A27AC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styleId="aff3">
    <w:name w:val="annotation reference"/>
    <w:basedOn w:val="a0"/>
    <w:semiHidden/>
    <w:unhideWhenUsed/>
    <w:rsid w:val="009D4DD9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9D4DD9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9D4DD9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9D4DD9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9D4DD9"/>
    <w:rPr>
      <w:b/>
      <w:bCs/>
    </w:rPr>
  </w:style>
  <w:style w:type="paragraph" w:styleId="aff8">
    <w:name w:val="footnote text"/>
    <w:basedOn w:val="a"/>
    <w:link w:val="aff9"/>
    <w:semiHidden/>
    <w:rsid w:val="009D4D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9">
    <w:name w:val="Текст сноски Знак"/>
    <w:basedOn w:val="a0"/>
    <w:link w:val="aff8"/>
    <w:semiHidden/>
    <w:rsid w:val="009D4D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semiHidden/>
    <w:rsid w:val="009D4DD9"/>
    <w:rPr>
      <w:vertAlign w:val="superscript"/>
    </w:rPr>
  </w:style>
  <w:style w:type="character" w:customStyle="1" w:styleId="FontStyle12">
    <w:name w:val="Font Style12"/>
    <w:basedOn w:val="a0"/>
    <w:rsid w:val="009C6FA7"/>
    <w:rPr>
      <w:rFonts w:ascii="Times New Roman" w:hAnsi="Times New Roman" w:cs="Times New Roman"/>
      <w:b/>
      <w:bCs/>
      <w:sz w:val="28"/>
      <w:szCs w:val="28"/>
    </w:rPr>
  </w:style>
  <w:style w:type="character" w:customStyle="1" w:styleId="3pt">
    <w:name w:val="Основной текст + Интервал 3 pt"/>
    <w:rsid w:val="001A27AC"/>
    <w:rPr>
      <w:rFonts w:ascii="Times New Roman" w:eastAsia="Times New Roman" w:hAnsi="Times New Roman" w:cs="Times New Roman" w:hint="default"/>
      <w:color w:val="000000"/>
      <w:spacing w:val="7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27">
    <w:name w:val="Body Text Indent 2"/>
    <w:basedOn w:val="a"/>
    <w:link w:val="28"/>
    <w:rsid w:val="001001A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8">
    <w:name w:val="Основной текст с отступом 2 Знак"/>
    <w:basedOn w:val="a0"/>
    <w:link w:val="27"/>
    <w:rsid w:val="001001A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fb">
    <w:name w:val="page number"/>
    <w:basedOn w:val="a0"/>
    <w:rsid w:val="001001A4"/>
  </w:style>
  <w:style w:type="paragraph" w:customStyle="1" w:styleId="ConsNormal">
    <w:name w:val="ConsNormal"/>
    <w:rsid w:val="001001A4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1001A4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1001A4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3">
    <w:name w:val="Body Text Indent 3"/>
    <w:basedOn w:val="a"/>
    <w:link w:val="34"/>
    <w:rsid w:val="001001A4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1001A4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FontStyle33">
    <w:name w:val="Font Style33"/>
    <w:rsid w:val="001001A4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1001A4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c">
    <w:name w:val="endnote text"/>
    <w:basedOn w:val="a"/>
    <w:link w:val="affd"/>
    <w:rsid w:val="00100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концевой сноски Знак"/>
    <w:basedOn w:val="a0"/>
    <w:link w:val="affc"/>
    <w:rsid w:val="00100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rsid w:val="001001A4"/>
    <w:rPr>
      <w:vertAlign w:val="superscript"/>
    </w:rPr>
  </w:style>
  <w:style w:type="paragraph" w:customStyle="1" w:styleId="afff">
    <w:name w:val="Знак Знак Знак Знак"/>
    <w:basedOn w:val="a"/>
    <w:uiPriority w:val="99"/>
    <w:rsid w:val="001001A4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1001A4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styleId="afff0">
    <w:name w:val="line number"/>
    <w:basedOn w:val="a0"/>
    <w:rsid w:val="001001A4"/>
  </w:style>
  <w:style w:type="paragraph" w:customStyle="1" w:styleId="Noparagraphstyle">
    <w:name w:val="[No paragraph style]"/>
    <w:rsid w:val="001001A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inStyl">
    <w:name w:val="MainStyl"/>
    <w:basedOn w:val="Noparagraphstyle"/>
    <w:rsid w:val="001001A4"/>
    <w:pPr>
      <w:spacing w:line="246" w:lineRule="atLeast"/>
      <w:ind w:firstLine="283"/>
      <w:jc w:val="both"/>
    </w:pPr>
    <w:rPr>
      <w:rFonts w:ascii="NewtonC" w:hAnsi="NewtonC"/>
      <w:sz w:val="21"/>
      <w:szCs w:val="21"/>
    </w:rPr>
  </w:style>
  <w:style w:type="paragraph" w:customStyle="1" w:styleId="formattext">
    <w:name w:val="formattext"/>
    <w:basedOn w:val="a"/>
    <w:rsid w:val="0010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0F0C1E"/>
  </w:style>
  <w:style w:type="paragraph" w:customStyle="1" w:styleId="listparagraph">
    <w:name w:val="listparagraph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pt1">
    <w:name w:val="14pt1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">
    <w:name w:val="normalweb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C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3E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FC4394"/>
  </w:style>
  <w:style w:type="character" w:customStyle="1" w:styleId="afff1">
    <w:name w:val="Обычный (веб) Знак"/>
    <w:locked/>
    <w:rsid w:val="00B266C6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2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"/>
    <w:link w:val="36"/>
    <w:semiHidden/>
    <w:unhideWhenUsed/>
    <w:rsid w:val="00B266C6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6">
    <w:name w:val="Основной текст 3 Знак"/>
    <w:basedOn w:val="a0"/>
    <w:link w:val="35"/>
    <w:semiHidden/>
    <w:rsid w:val="00B266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B266C6"/>
  </w:style>
  <w:style w:type="paragraph" w:customStyle="1" w:styleId="ConsPlusNormal2">
    <w:name w:val="ConsPlusNormal Знак Знак"/>
    <w:rsid w:val="00B266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сновной текст с отступом2"/>
    <w:basedOn w:val="a"/>
    <w:rsid w:val="00BB5CE8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8"/>
      <w:szCs w:val="24"/>
    </w:rPr>
  </w:style>
  <w:style w:type="paragraph" w:customStyle="1" w:styleId="Pa3">
    <w:name w:val="Pa3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character" w:customStyle="1" w:styleId="14">
    <w:name w:val="Текст выноски Знак1"/>
    <w:basedOn w:val="a0"/>
    <w:uiPriority w:val="99"/>
    <w:semiHidden/>
    <w:rsid w:val="00443D34"/>
    <w:rPr>
      <w:rFonts w:ascii="Tahoma" w:hAnsi="Tahoma" w:cs="Tahoma"/>
      <w:sz w:val="16"/>
      <w:szCs w:val="16"/>
    </w:rPr>
  </w:style>
  <w:style w:type="paragraph" w:customStyle="1" w:styleId="15">
    <w:name w:val="Нижний колонтитул1"/>
    <w:basedOn w:val="a"/>
    <w:rsid w:val="00F1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2">
    <w:name w:val="Гипертекстовая ссылка"/>
    <w:basedOn w:val="a0"/>
    <w:uiPriority w:val="99"/>
    <w:rsid w:val="00F1211F"/>
    <w:rPr>
      <w:color w:val="106BBE"/>
    </w:rPr>
  </w:style>
  <w:style w:type="paragraph" w:customStyle="1" w:styleId="16">
    <w:name w:val="Текст1"/>
    <w:basedOn w:val="a"/>
    <w:rsid w:val="00F121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DFA4F-FE03-424F-9808-E56B0C06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dcterms:created xsi:type="dcterms:W3CDTF">2017-08-08T06:03:00Z</dcterms:created>
  <dcterms:modified xsi:type="dcterms:W3CDTF">2019-04-05T07:24:00Z</dcterms:modified>
</cp:coreProperties>
</file>